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7B9" w:rsidRDefault="00F847B9" w:rsidP="0040032A">
      <w:pPr>
        <w:pBdr>
          <w:bottom w:val="single" w:sz="6" w:space="1" w:color="auto"/>
        </w:pBdr>
        <w:spacing w:line="240" w:lineRule="atLeast"/>
        <w:rPr>
          <w:b/>
        </w:rPr>
      </w:pPr>
      <w:r>
        <w:rPr>
          <w:b/>
        </w:rPr>
        <w:t>VERTROUWELIJK</w:t>
      </w:r>
    </w:p>
    <w:p w:rsidR="00F847B9" w:rsidRDefault="00F847B9" w:rsidP="0040032A">
      <w:pPr>
        <w:spacing w:line="240" w:lineRule="atLeast"/>
        <w:rPr>
          <w:b/>
        </w:rPr>
      </w:pPr>
    </w:p>
    <w:p w:rsidR="0040032A" w:rsidRPr="0040032A" w:rsidRDefault="0040032A" w:rsidP="0040032A">
      <w:pPr>
        <w:spacing w:line="240" w:lineRule="atLeast"/>
        <w:rPr>
          <w:b/>
        </w:rPr>
      </w:pPr>
      <w:r>
        <w:rPr>
          <w:b/>
        </w:rPr>
        <w:t xml:space="preserve">Passages over de Ad uit concept adviesrapport </w:t>
      </w:r>
      <w:r w:rsidRPr="0040032A">
        <w:rPr>
          <w:b/>
        </w:rPr>
        <w:t>Flexibel hoger onderwijs voor de volwassen beroepsbevolking</w:t>
      </w:r>
    </w:p>
    <w:p w:rsidR="0040032A" w:rsidRPr="0040032A" w:rsidRDefault="0040032A" w:rsidP="0040032A">
      <w:pPr>
        <w:spacing w:line="280" w:lineRule="atLeast"/>
        <w:rPr>
          <w:b/>
        </w:rPr>
      </w:pPr>
    </w:p>
    <w:p w:rsidR="0040032A" w:rsidRPr="00722F86" w:rsidRDefault="0040032A" w:rsidP="0040032A">
      <w:pPr>
        <w:spacing w:line="280" w:lineRule="atLeast"/>
        <w:rPr>
          <w:b/>
        </w:rPr>
      </w:pPr>
      <w:r w:rsidRPr="00722F86">
        <w:rPr>
          <w:b/>
        </w:rPr>
        <w:t>3.3</w:t>
      </w:r>
      <w:r w:rsidRPr="00722F86">
        <w:rPr>
          <w:b/>
        </w:rPr>
        <w:tab/>
      </w:r>
      <w:proofErr w:type="spellStart"/>
      <w:r w:rsidRPr="00722F86">
        <w:rPr>
          <w:b/>
        </w:rPr>
        <w:t>Associate</w:t>
      </w:r>
      <w:proofErr w:type="spellEnd"/>
      <w:r w:rsidRPr="00722F86">
        <w:rPr>
          <w:b/>
        </w:rPr>
        <w:t xml:space="preserve"> </w:t>
      </w:r>
      <w:proofErr w:type="spellStart"/>
      <w:r w:rsidRPr="00722F86">
        <w:rPr>
          <w:b/>
        </w:rPr>
        <w:t>degree</w:t>
      </w:r>
      <w:proofErr w:type="spellEnd"/>
    </w:p>
    <w:p w:rsidR="0040032A" w:rsidRDefault="0040032A" w:rsidP="0040032A">
      <w:pPr>
        <w:spacing w:line="280" w:lineRule="atLeast"/>
      </w:pPr>
    </w:p>
    <w:p w:rsidR="0040032A" w:rsidRDefault="0040032A" w:rsidP="0040032A">
      <w:pPr>
        <w:spacing w:line="280" w:lineRule="atLeast"/>
      </w:pPr>
      <w:r w:rsidRPr="004C3881">
        <w:t xml:space="preserve">Een belangrijke ontwikkeling </w:t>
      </w:r>
      <w:r>
        <w:t>in</w:t>
      </w:r>
      <w:r w:rsidRPr="004C3881">
        <w:t xml:space="preserve"> het hbo is de introductie van </w:t>
      </w:r>
      <w:proofErr w:type="spellStart"/>
      <w:r w:rsidRPr="004C3881">
        <w:t>Associate-degreeprogramma’s</w:t>
      </w:r>
      <w:proofErr w:type="spellEnd"/>
      <w:r w:rsidRPr="004C3881">
        <w:t>. Een</w:t>
      </w:r>
      <w:r>
        <w:t xml:space="preserve"> </w:t>
      </w:r>
      <w:proofErr w:type="spellStart"/>
      <w:r w:rsidRPr="004C3881">
        <w:t>Associate-degreeprogramma</w:t>
      </w:r>
      <w:proofErr w:type="spellEnd"/>
      <w:r w:rsidRPr="004C3881">
        <w:t xml:space="preserve"> is een tweejarig programma binnen de hbo-</w:t>
      </w:r>
      <w:proofErr w:type="spellStart"/>
      <w:r w:rsidRPr="004C3881">
        <w:t>bacheloropleiding</w:t>
      </w:r>
      <w:proofErr w:type="spellEnd"/>
      <w:r w:rsidRPr="004C3881">
        <w:t xml:space="preserve"> dat leidt tot</w:t>
      </w:r>
      <w:r>
        <w:t xml:space="preserve"> </w:t>
      </w:r>
      <w:r w:rsidRPr="004C3881">
        <w:t xml:space="preserve">een nieuwe wettelijke graad: de </w:t>
      </w:r>
      <w:proofErr w:type="spellStart"/>
      <w:r w:rsidRPr="004C3881">
        <w:t>Associate</w:t>
      </w:r>
      <w:proofErr w:type="spellEnd"/>
      <w:r w:rsidRPr="004C3881">
        <w:t xml:space="preserve"> </w:t>
      </w:r>
      <w:proofErr w:type="spellStart"/>
      <w:r w:rsidRPr="004C3881">
        <w:t>degree</w:t>
      </w:r>
      <w:proofErr w:type="spellEnd"/>
      <w:r w:rsidRPr="004C3881">
        <w:t xml:space="preserve"> (Ad). </w:t>
      </w:r>
    </w:p>
    <w:p w:rsidR="0040032A" w:rsidRDefault="0040032A" w:rsidP="0040032A">
      <w:pPr>
        <w:spacing w:line="280" w:lineRule="atLeast"/>
      </w:pPr>
    </w:p>
    <w:p w:rsidR="0040032A" w:rsidRDefault="0040032A" w:rsidP="0040032A">
      <w:pPr>
        <w:spacing w:line="280" w:lineRule="atLeast"/>
      </w:pPr>
      <w:r>
        <w:t>Tweejarige Ad-programma’s binnen hbo-</w:t>
      </w:r>
      <w:proofErr w:type="spellStart"/>
      <w:r>
        <w:t>bacheloropleidingen</w:t>
      </w:r>
      <w:proofErr w:type="spellEnd"/>
      <w:r>
        <w:t xml:space="preserve"> passen goed in het streven naar flexibilisering van het hoger onderwijs en versterking van de deelname van volwassenen</w:t>
      </w:r>
      <w:r>
        <w:rPr>
          <w:rStyle w:val="Voetnootmarkering"/>
        </w:rPr>
        <w:footnoteReference w:id="1"/>
      </w:r>
      <w:r>
        <w:t>. De drempel om een vierjarige opleiding te starten is voor velen te hoog; een tweejarige studie is beter te overzien en wordt daarom aantrekkelijker gevonden. Deelnemers kunnen later (alsnog) besluiten deel te nemen aan een tweejarig programma dat leidt tot een hbo-</w:t>
      </w:r>
      <w:proofErr w:type="spellStart"/>
      <w:r>
        <w:t>bachelordiploma</w:t>
      </w:r>
      <w:proofErr w:type="spellEnd"/>
      <w:r>
        <w:t xml:space="preserve">.  </w:t>
      </w:r>
    </w:p>
    <w:p w:rsidR="0040032A" w:rsidRDefault="0040032A" w:rsidP="0040032A">
      <w:pPr>
        <w:spacing w:line="280" w:lineRule="atLeast"/>
      </w:pPr>
    </w:p>
    <w:p w:rsidR="0040032A" w:rsidRDefault="0040032A" w:rsidP="0040032A">
      <w:pPr>
        <w:spacing w:line="280" w:lineRule="atLeast"/>
      </w:pPr>
      <w:r w:rsidRPr="004C3881">
        <w:t>In de periode 2006-2010 is een groot aantal pilots met Ad-programma</w:t>
      </w:r>
      <w:r>
        <w:t>’</w:t>
      </w:r>
      <w:r w:rsidRPr="004C3881">
        <w:t>s gestart.</w:t>
      </w:r>
      <w:r>
        <w:t xml:space="preserve"> </w:t>
      </w:r>
      <w:r w:rsidRPr="004C3881">
        <w:t>Ongeveer de helft van de Ad’ers volgt het Ad-programma in</w:t>
      </w:r>
      <w:r>
        <w:t xml:space="preserve"> </w:t>
      </w:r>
      <w:r w:rsidRPr="004C3881">
        <w:t>deeltijd</w:t>
      </w:r>
      <w:r>
        <w:t xml:space="preserve"> of in duale vorm</w:t>
      </w:r>
      <w:r w:rsidRPr="004C3881">
        <w:t>. Het grote percentage deeltijders komt doordat het gros van de Ad’ers</w:t>
      </w:r>
      <w:r>
        <w:t xml:space="preserve"> </w:t>
      </w:r>
      <w:r w:rsidRPr="004C3881">
        <w:t>tot de beoogde doelgroep behoort: ongeveer de helft komt vanuit een werksituatie en circa een kwart</w:t>
      </w:r>
      <w:r>
        <w:t xml:space="preserve"> </w:t>
      </w:r>
      <w:r w:rsidRPr="004C3881">
        <w:t xml:space="preserve">komt rechtstreeks van het mbo. Het afronden van </w:t>
      </w:r>
      <w:r>
        <w:t>een Ad-programma heeft</w:t>
      </w:r>
      <w:r w:rsidRPr="004C3881">
        <w:t xml:space="preserve"> een positief</w:t>
      </w:r>
      <w:r>
        <w:t xml:space="preserve"> </w:t>
      </w:r>
      <w:r w:rsidRPr="004C3881">
        <w:t>effect op het functioneren op de arbeidsmarkt</w:t>
      </w:r>
      <w:r>
        <w:rPr>
          <w:rStyle w:val="Voetnootmarkering"/>
        </w:rPr>
        <w:footnoteReference w:id="2"/>
      </w:r>
      <w:r w:rsidRPr="004C3881">
        <w:t>.</w:t>
      </w:r>
    </w:p>
    <w:p w:rsidR="0040032A" w:rsidRPr="004C3881" w:rsidRDefault="0040032A" w:rsidP="0040032A">
      <w:pPr>
        <w:spacing w:line="280" w:lineRule="atLeast"/>
      </w:pPr>
    </w:p>
    <w:p w:rsidR="0040032A" w:rsidRDefault="0040032A" w:rsidP="0040032A">
      <w:pPr>
        <w:spacing w:line="280" w:lineRule="atLeast"/>
      </w:pPr>
      <w:r w:rsidRPr="004C3881">
        <w:t xml:space="preserve">De </w:t>
      </w:r>
      <w:proofErr w:type="spellStart"/>
      <w:r w:rsidRPr="004C3881">
        <w:t>Associate</w:t>
      </w:r>
      <w:proofErr w:type="spellEnd"/>
      <w:r w:rsidRPr="004C3881">
        <w:t xml:space="preserve"> </w:t>
      </w:r>
      <w:proofErr w:type="spellStart"/>
      <w:r w:rsidRPr="004C3881">
        <w:t>degree</w:t>
      </w:r>
      <w:proofErr w:type="spellEnd"/>
      <w:r w:rsidRPr="004C3881">
        <w:t xml:space="preserve"> heeft een belangrijke toegevoegde waarde voor het Nederlandse hoger onderwijs.</w:t>
      </w:r>
      <w:r>
        <w:t xml:space="preserve"> </w:t>
      </w:r>
      <w:r w:rsidRPr="004C3881">
        <w:t>De Ad vult volgens de commissie-Veerman</w:t>
      </w:r>
      <w:r>
        <w:rPr>
          <w:rStyle w:val="Voetnootmarkering"/>
        </w:rPr>
        <w:footnoteReference w:id="3"/>
      </w:r>
      <w:r w:rsidRPr="004C3881">
        <w:t xml:space="preserve"> “een belangrijke lacune in het Nederlands hoger</w:t>
      </w:r>
      <w:r>
        <w:t xml:space="preserve"> </w:t>
      </w:r>
      <w:r w:rsidRPr="004C3881">
        <w:t>onderwijsbestel op”, heeft aantrekkingskracht op nieuwe doelgroepen en sluit aan op een behoefte bij</w:t>
      </w:r>
      <w:r>
        <w:t xml:space="preserve"> </w:t>
      </w:r>
      <w:r w:rsidRPr="004C3881">
        <w:t xml:space="preserve">studenten, bedrijfsleven en maatschappelijke organisaties. </w:t>
      </w:r>
      <w:r>
        <w:t>I</w:t>
      </w:r>
      <w:r w:rsidRPr="004C3881">
        <w:t>n de Strategische Agenda</w:t>
      </w:r>
      <w:r>
        <w:rPr>
          <w:rStyle w:val="Voetnootmarkering"/>
        </w:rPr>
        <w:footnoteReference w:id="4"/>
      </w:r>
      <w:r>
        <w:t xml:space="preserve"> is </w:t>
      </w:r>
      <w:r w:rsidRPr="004C3881">
        <w:t xml:space="preserve">een plan van aanpak aangekondigd voor de uitbreiding van het (bekostigde en </w:t>
      </w:r>
      <w:r>
        <w:t>private</w:t>
      </w:r>
      <w:r w:rsidRPr="004C3881">
        <w:t xml:space="preserve">) </w:t>
      </w:r>
      <w:r>
        <w:t>A</w:t>
      </w:r>
      <w:r w:rsidRPr="004C3881">
        <w:t>d</w:t>
      </w:r>
      <w:r>
        <w:t>-</w:t>
      </w:r>
      <w:r w:rsidRPr="004C3881">
        <w:t>aanbod,</w:t>
      </w:r>
      <w:r>
        <w:t xml:space="preserve"> </w:t>
      </w:r>
      <w:r w:rsidRPr="004C3881">
        <w:t xml:space="preserve">zodat </w:t>
      </w:r>
      <w:r>
        <w:t>de deelname</w:t>
      </w:r>
      <w:r w:rsidRPr="004C3881">
        <w:t xml:space="preserve"> kan uitgroeien tot 15%</w:t>
      </w:r>
      <w:r>
        <w:t xml:space="preserve"> van het totale hoger onderwijs</w:t>
      </w:r>
      <w:r w:rsidRPr="004C3881">
        <w:t>.</w:t>
      </w:r>
    </w:p>
    <w:p w:rsidR="0041146F" w:rsidRDefault="0041146F"/>
    <w:p w:rsidR="0040032A" w:rsidRPr="0040032A" w:rsidRDefault="0040032A" w:rsidP="0040032A">
      <w:pPr>
        <w:spacing w:line="280" w:lineRule="atLeast"/>
      </w:pPr>
      <w:r>
        <w:t>(……….)</w:t>
      </w:r>
    </w:p>
    <w:p w:rsidR="0040032A" w:rsidRDefault="0040032A" w:rsidP="0040032A">
      <w:pPr>
        <w:spacing w:line="280" w:lineRule="atLeast"/>
        <w:rPr>
          <w:b/>
          <w:i/>
        </w:rPr>
      </w:pPr>
    </w:p>
    <w:p w:rsidR="0040032A" w:rsidRPr="00382841" w:rsidRDefault="0040032A" w:rsidP="0040032A">
      <w:pPr>
        <w:spacing w:line="280" w:lineRule="atLeast"/>
        <w:rPr>
          <w:b/>
          <w:i/>
        </w:rPr>
      </w:pPr>
      <w:r w:rsidRPr="00382841">
        <w:rPr>
          <w:b/>
          <w:i/>
        </w:rPr>
        <w:t xml:space="preserve">4.3 </w:t>
      </w:r>
      <w:r w:rsidRPr="00382841">
        <w:rPr>
          <w:b/>
          <w:i/>
        </w:rPr>
        <w:tab/>
        <w:t xml:space="preserve">Versterking van het aanbod van programma’s </w:t>
      </w:r>
      <w:proofErr w:type="spellStart"/>
      <w:r w:rsidRPr="00382841">
        <w:rPr>
          <w:b/>
          <w:i/>
        </w:rPr>
        <w:t>Associate</w:t>
      </w:r>
      <w:proofErr w:type="spellEnd"/>
      <w:r w:rsidRPr="00382841">
        <w:rPr>
          <w:b/>
          <w:i/>
        </w:rPr>
        <w:t xml:space="preserve"> </w:t>
      </w:r>
      <w:proofErr w:type="spellStart"/>
      <w:r w:rsidRPr="00382841">
        <w:rPr>
          <w:b/>
          <w:i/>
        </w:rPr>
        <w:t>degree</w:t>
      </w:r>
      <w:proofErr w:type="spellEnd"/>
    </w:p>
    <w:p w:rsidR="0040032A" w:rsidRDefault="0040032A" w:rsidP="0040032A">
      <w:pPr>
        <w:spacing w:line="280" w:lineRule="atLeast"/>
      </w:pPr>
    </w:p>
    <w:p w:rsidR="0040032A" w:rsidRDefault="0040032A" w:rsidP="0040032A">
      <w:pPr>
        <w:spacing w:line="280" w:lineRule="atLeast"/>
      </w:pPr>
      <w:r>
        <w:t xml:space="preserve">De Ad is in het Nederlandse stelsel voor hoger onderwijs nog relatief nieuw en onbekend en er lijkt nog veel ruimte te zijn voor groei in aanbod en deelname. Steeds meer werkende mbo-afgestudeerden zullen een kwalificatie in het hoger onderwijs moeten halen, en daarnaast zal de (directe) doorstroom mbo-hbo versterkt moeten worden. De Ad verlaagt de drempel en bevordert de toegankelijkheid van het hoger onderwijs. Een potentiële deelnemer begint vaak liever niet aan een vierjarig traject, maar vindt een tweejarig traject wel te overwegen. Het merendeel van de Ad-studenten geeft aan het aantrekkelijke van de Ad te vinden dat zij na twee jaar een diploma kunnen halen en daarna altijd nog kunnen besluiten de bachelor opleiding te vervolgen. </w:t>
      </w:r>
    </w:p>
    <w:p w:rsidR="0040032A" w:rsidRDefault="0040032A" w:rsidP="0040032A">
      <w:pPr>
        <w:spacing w:line="280" w:lineRule="atLeast"/>
        <w:rPr>
          <w:b/>
          <w:i/>
        </w:rPr>
      </w:pPr>
    </w:p>
    <w:p w:rsidR="0040032A" w:rsidRPr="00C16B89" w:rsidRDefault="0040032A" w:rsidP="0040032A">
      <w:pPr>
        <w:spacing w:line="280" w:lineRule="atLeast"/>
        <w:rPr>
          <w:b/>
          <w:i/>
        </w:rPr>
      </w:pPr>
      <w:r w:rsidRPr="00C16B89">
        <w:rPr>
          <w:b/>
          <w:i/>
        </w:rPr>
        <w:t>Concrete maatregelen</w:t>
      </w:r>
    </w:p>
    <w:p w:rsidR="0040032A" w:rsidRDefault="0040032A" w:rsidP="0040032A">
      <w:pPr>
        <w:pStyle w:val="Lijstalinea"/>
        <w:numPr>
          <w:ilvl w:val="0"/>
          <w:numId w:val="1"/>
        </w:numPr>
        <w:spacing w:line="280" w:lineRule="atLeast"/>
      </w:pPr>
      <w:r>
        <w:lastRenderedPageBreak/>
        <w:t xml:space="preserve">Vergroot de bekendheid van de Ad als kwalificatieniveau in het hoger onderwijs, door gerichte samenwerking tussen instellingen, werkgeversorganisaties en overheid bij de promotie van de Ad, onder meer via de landelijke Ad-werkgroep.  </w:t>
      </w:r>
    </w:p>
    <w:p w:rsidR="0040032A" w:rsidRDefault="0040032A" w:rsidP="0040032A">
      <w:pPr>
        <w:pStyle w:val="Lijstalinea"/>
        <w:numPr>
          <w:ilvl w:val="0"/>
          <w:numId w:val="1"/>
        </w:numPr>
        <w:spacing w:line="280" w:lineRule="atLeast"/>
      </w:pPr>
      <w:r>
        <w:t>Zorg voor brede verankering van de Ad in het beleid van hogescholen.</w:t>
      </w:r>
    </w:p>
    <w:p w:rsidR="0040032A" w:rsidRDefault="0040032A" w:rsidP="0040032A">
      <w:pPr>
        <w:pStyle w:val="Lijstalinea"/>
        <w:numPr>
          <w:ilvl w:val="0"/>
          <w:numId w:val="1"/>
        </w:numPr>
        <w:spacing w:line="280" w:lineRule="atLeast"/>
      </w:pPr>
      <w:r>
        <w:t xml:space="preserve">Faciliteer versterking van de samenwerking tussen hogescholen en mbo-instellingen rond het aanbieden en verzorgen van </w:t>
      </w:r>
      <w:proofErr w:type="spellStart"/>
      <w:r>
        <w:t>Ad’s</w:t>
      </w:r>
      <w:proofErr w:type="spellEnd"/>
      <w:r>
        <w:t xml:space="preserve">, door meer ruimte te bieden voor positionering van de Ad bij het mbo. Het mbo heeft veelal een sterkere traditie van samenwerking met werkgevers in het kader van het opleiden van werknemers en het gebruik van werkplekleren (BBL). Ook het  benaderen van mbo-alumni voor deelname aan Ad-programma’s moet deel uitmaken van het versterken van de samenwerking hbo-mbo. </w:t>
      </w:r>
    </w:p>
    <w:p w:rsidR="0040032A" w:rsidRDefault="0040032A" w:rsidP="0040032A">
      <w:pPr>
        <w:pStyle w:val="Lijstalinea"/>
        <w:numPr>
          <w:ilvl w:val="0"/>
          <w:numId w:val="1"/>
        </w:numPr>
        <w:spacing w:line="280" w:lineRule="atLeast"/>
      </w:pPr>
      <w:r>
        <w:t xml:space="preserve">Versterk de samenwerking tussen hogescholen, brancheorganisaties en O&amp;O-fondsen, met het oog op financiering van deelname van werknemers aan de Ad,  op verankering van de Ad in functiebouwwerken en voor het maken van afspraken over erkenning van branchekwalificaties. </w:t>
      </w:r>
    </w:p>
    <w:p w:rsidR="0040032A" w:rsidRDefault="0040032A">
      <w:bookmarkStart w:id="0" w:name="_GoBack"/>
      <w:bookmarkEnd w:id="0"/>
    </w:p>
    <w:sectPr w:rsidR="0040032A" w:rsidSect="0041146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A74" w:rsidRDefault="00A25A74" w:rsidP="0040032A">
      <w:pPr>
        <w:spacing w:line="240" w:lineRule="auto"/>
      </w:pPr>
      <w:r>
        <w:separator/>
      </w:r>
    </w:p>
  </w:endnote>
  <w:endnote w:type="continuationSeparator" w:id="0">
    <w:p w:rsidR="00A25A74" w:rsidRDefault="00A25A74" w:rsidP="004003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A74" w:rsidRDefault="00A25A74" w:rsidP="0040032A">
      <w:pPr>
        <w:spacing w:line="240" w:lineRule="auto"/>
      </w:pPr>
      <w:r>
        <w:separator/>
      </w:r>
    </w:p>
  </w:footnote>
  <w:footnote w:type="continuationSeparator" w:id="0">
    <w:p w:rsidR="00A25A74" w:rsidRDefault="00A25A74" w:rsidP="0040032A">
      <w:pPr>
        <w:spacing w:line="240" w:lineRule="auto"/>
      </w:pPr>
      <w:r>
        <w:continuationSeparator/>
      </w:r>
    </w:p>
  </w:footnote>
  <w:footnote w:id="1">
    <w:p w:rsidR="0040032A" w:rsidRPr="00DC19B5" w:rsidRDefault="0040032A" w:rsidP="0040032A">
      <w:pPr>
        <w:pStyle w:val="Voetnoottekst"/>
        <w:rPr>
          <w:sz w:val="16"/>
          <w:szCs w:val="16"/>
        </w:rPr>
      </w:pPr>
      <w:r w:rsidRPr="00DC19B5">
        <w:rPr>
          <w:rStyle w:val="Voetnootmarkering"/>
          <w:sz w:val="16"/>
          <w:szCs w:val="16"/>
        </w:rPr>
        <w:footnoteRef/>
      </w:r>
      <w:r w:rsidRPr="00DC19B5">
        <w:rPr>
          <w:sz w:val="16"/>
          <w:szCs w:val="16"/>
        </w:rPr>
        <w:t xml:space="preserve"> De Ad is vooral bedoeld voor werkenden met een mbo-diploma en voor doorstromers vanuit het mbo.</w:t>
      </w:r>
    </w:p>
  </w:footnote>
  <w:footnote w:id="2">
    <w:p w:rsidR="0040032A" w:rsidRPr="00C90C9A" w:rsidRDefault="0040032A" w:rsidP="0040032A">
      <w:pPr>
        <w:pStyle w:val="Voetnoottekst"/>
        <w:rPr>
          <w:sz w:val="16"/>
          <w:szCs w:val="16"/>
        </w:rPr>
      </w:pPr>
      <w:r w:rsidRPr="0035570F">
        <w:rPr>
          <w:rStyle w:val="Voetnootmarkering"/>
          <w:sz w:val="16"/>
          <w:szCs w:val="16"/>
        </w:rPr>
        <w:footnoteRef/>
      </w:r>
      <w:r w:rsidRPr="00C90C9A">
        <w:rPr>
          <w:sz w:val="16"/>
          <w:szCs w:val="16"/>
        </w:rPr>
        <w:t xml:space="preserve"> Monitor </w:t>
      </w:r>
      <w:proofErr w:type="spellStart"/>
      <w:r w:rsidRPr="00C90C9A">
        <w:rPr>
          <w:sz w:val="16"/>
          <w:szCs w:val="16"/>
        </w:rPr>
        <w:t>Associate</w:t>
      </w:r>
      <w:proofErr w:type="spellEnd"/>
      <w:r w:rsidRPr="00C90C9A">
        <w:rPr>
          <w:sz w:val="16"/>
          <w:szCs w:val="16"/>
        </w:rPr>
        <w:t xml:space="preserve"> </w:t>
      </w:r>
      <w:proofErr w:type="spellStart"/>
      <w:r w:rsidRPr="00C90C9A">
        <w:rPr>
          <w:sz w:val="16"/>
          <w:szCs w:val="16"/>
        </w:rPr>
        <w:t>degree</w:t>
      </w:r>
      <w:proofErr w:type="spellEnd"/>
      <w:r w:rsidRPr="00C90C9A">
        <w:rPr>
          <w:sz w:val="16"/>
          <w:szCs w:val="16"/>
        </w:rPr>
        <w:t xml:space="preserve"> 2006-2010, SEO Economisch Onderzoek (2010)</w:t>
      </w:r>
    </w:p>
  </w:footnote>
  <w:footnote w:id="3">
    <w:p w:rsidR="0040032A" w:rsidRPr="00B23B4A" w:rsidRDefault="0040032A" w:rsidP="0040032A">
      <w:pPr>
        <w:pStyle w:val="Voetnoottekst"/>
        <w:rPr>
          <w:sz w:val="16"/>
          <w:szCs w:val="16"/>
        </w:rPr>
      </w:pPr>
      <w:r w:rsidRPr="00B23B4A">
        <w:rPr>
          <w:rStyle w:val="Voetnootmarkering"/>
          <w:sz w:val="16"/>
          <w:szCs w:val="16"/>
        </w:rPr>
        <w:footnoteRef/>
      </w:r>
      <w:r w:rsidRPr="00B23B4A">
        <w:rPr>
          <w:sz w:val="16"/>
          <w:szCs w:val="16"/>
        </w:rPr>
        <w:t xml:space="preserve"> </w:t>
      </w:r>
      <w:r>
        <w:rPr>
          <w:sz w:val="16"/>
          <w:szCs w:val="16"/>
        </w:rPr>
        <w:t>‘</w:t>
      </w:r>
      <w:r w:rsidRPr="00B23B4A">
        <w:rPr>
          <w:sz w:val="16"/>
          <w:szCs w:val="16"/>
        </w:rPr>
        <w:t>Differentiëren in drievoud</w:t>
      </w:r>
      <w:r>
        <w:rPr>
          <w:sz w:val="16"/>
          <w:szCs w:val="16"/>
        </w:rPr>
        <w:t>’</w:t>
      </w:r>
      <w:r w:rsidRPr="00B23B4A">
        <w:rPr>
          <w:sz w:val="16"/>
          <w:szCs w:val="16"/>
        </w:rPr>
        <w:t>, Advies van de Commissie Toekomstbestendig Hoger Onderwijs Stelsel (2010)</w:t>
      </w:r>
    </w:p>
  </w:footnote>
  <w:footnote w:id="4">
    <w:p w:rsidR="0040032A" w:rsidRPr="00B23B4A" w:rsidRDefault="0040032A" w:rsidP="0040032A">
      <w:pPr>
        <w:pStyle w:val="Voetnoottekst"/>
        <w:rPr>
          <w:sz w:val="16"/>
          <w:szCs w:val="16"/>
        </w:rPr>
      </w:pPr>
      <w:r w:rsidRPr="00B23B4A">
        <w:rPr>
          <w:rStyle w:val="Voetnootmarkering"/>
          <w:sz w:val="16"/>
          <w:szCs w:val="16"/>
        </w:rPr>
        <w:footnoteRef/>
      </w:r>
      <w:r w:rsidRPr="00B23B4A">
        <w:rPr>
          <w:sz w:val="16"/>
          <w:szCs w:val="16"/>
        </w:rPr>
        <w:t xml:space="preserve"> </w:t>
      </w:r>
      <w:r>
        <w:rPr>
          <w:sz w:val="16"/>
          <w:szCs w:val="16"/>
        </w:rPr>
        <w:t>‘</w:t>
      </w:r>
      <w:r w:rsidRPr="00B23B4A">
        <w:rPr>
          <w:sz w:val="16"/>
          <w:szCs w:val="16"/>
        </w:rPr>
        <w:t>Kwaliteit in verscheidenheid</w:t>
      </w:r>
      <w:r>
        <w:rPr>
          <w:sz w:val="16"/>
          <w:szCs w:val="16"/>
        </w:rPr>
        <w:t>’</w:t>
      </w:r>
      <w:r w:rsidRPr="00B23B4A">
        <w:rPr>
          <w:sz w:val="16"/>
          <w:szCs w:val="16"/>
        </w:rPr>
        <w:t>, Strategische Agenda Hoger Onderwijs, Onderzoek en Wetenschap</w:t>
      </w:r>
      <w:r>
        <w:rPr>
          <w:sz w:val="16"/>
          <w:szCs w:val="16"/>
        </w:rPr>
        <w:t xml:space="preserve"> (2011)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95D61"/>
    <w:multiLevelType w:val="hybridMultilevel"/>
    <w:tmpl w:val="41D60D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32A"/>
    <w:rsid w:val="0040032A"/>
    <w:rsid w:val="0041146F"/>
    <w:rsid w:val="006137DA"/>
    <w:rsid w:val="00667AB8"/>
    <w:rsid w:val="008976CF"/>
    <w:rsid w:val="008F40B6"/>
    <w:rsid w:val="00A25A74"/>
    <w:rsid w:val="00D70BE9"/>
    <w:rsid w:val="00E354E5"/>
    <w:rsid w:val="00EA20CF"/>
    <w:rsid w:val="00F847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032A"/>
    <w:pPr>
      <w:spacing w:after="0" w:line="300" w:lineRule="atLeast"/>
    </w:pPr>
    <w:rPr>
      <w:rFonts w:ascii="Verdana" w:eastAsia="Times New Roman" w:hAnsi="Verdana" w:cs="Times New Roman"/>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40032A"/>
    <w:pPr>
      <w:spacing w:line="240" w:lineRule="atLeast"/>
    </w:pPr>
    <w:rPr>
      <w:sz w:val="20"/>
      <w:szCs w:val="20"/>
    </w:rPr>
  </w:style>
  <w:style w:type="character" w:customStyle="1" w:styleId="VoetnoottekstChar">
    <w:name w:val="Voetnoottekst Char"/>
    <w:basedOn w:val="Standaardalinea-lettertype"/>
    <w:link w:val="Voetnoottekst"/>
    <w:uiPriority w:val="99"/>
    <w:rsid w:val="0040032A"/>
    <w:rPr>
      <w:rFonts w:ascii="Verdana" w:eastAsia="Times New Roman" w:hAnsi="Verdana" w:cs="Times New Roman"/>
      <w:sz w:val="20"/>
      <w:szCs w:val="20"/>
      <w:lang w:eastAsia="nl-NL"/>
    </w:rPr>
  </w:style>
  <w:style w:type="character" w:styleId="Voetnootmarkering">
    <w:name w:val="footnote reference"/>
    <w:uiPriority w:val="99"/>
    <w:semiHidden/>
    <w:unhideWhenUsed/>
    <w:rsid w:val="0040032A"/>
    <w:rPr>
      <w:vertAlign w:val="superscript"/>
    </w:rPr>
  </w:style>
  <w:style w:type="paragraph" w:styleId="Lijstalinea">
    <w:name w:val="List Paragraph"/>
    <w:basedOn w:val="Standaard"/>
    <w:uiPriority w:val="34"/>
    <w:qFormat/>
    <w:rsid w:val="0040032A"/>
    <w:pPr>
      <w:ind w:left="720"/>
      <w:contextualSpacing/>
    </w:pPr>
  </w:style>
  <w:style w:type="paragraph" w:styleId="Koptekst">
    <w:name w:val="header"/>
    <w:basedOn w:val="Standaard"/>
    <w:link w:val="KoptekstChar"/>
    <w:uiPriority w:val="99"/>
    <w:unhideWhenUsed/>
    <w:rsid w:val="00D70BE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70BE9"/>
    <w:rPr>
      <w:rFonts w:ascii="Verdana" w:eastAsia="Times New Roman" w:hAnsi="Verdana" w:cs="Times New Roman"/>
      <w:sz w:val="18"/>
      <w:szCs w:val="18"/>
      <w:lang w:eastAsia="nl-NL"/>
    </w:rPr>
  </w:style>
  <w:style w:type="paragraph" w:styleId="Voettekst">
    <w:name w:val="footer"/>
    <w:basedOn w:val="Standaard"/>
    <w:link w:val="VoettekstChar"/>
    <w:uiPriority w:val="99"/>
    <w:unhideWhenUsed/>
    <w:rsid w:val="00D70BE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70BE9"/>
    <w:rPr>
      <w:rFonts w:ascii="Verdana" w:eastAsia="Times New Roman" w:hAnsi="Verdana" w:cs="Times New Roman"/>
      <w:sz w:val="18"/>
      <w:szCs w:val="18"/>
      <w:lang w:eastAsia="nl-NL"/>
    </w:rPr>
  </w:style>
  <w:style w:type="paragraph" w:styleId="Ballontekst">
    <w:name w:val="Balloon Text"/>
    <w:basedOn w:val="Standaard"/>
    <w:link w:val="BallontekstChar"/>
    <w:uiPriority w:val="99"/>
    <w:semiHidden/>
    <w:unhideWhenUsed/>
    <w:rsid w:val="00D70BE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0BE9"/>
    <w:rPr>
      <w:rFonts w:ascii="Tahoma" w:eastAsia="Times New Roman" w:hAnsi="Tahoma" w:cs="Tahoma"/>
      <w:sz w:val="16"/>
      <w:szCs w:val="16"/>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0032A"/>
    <w:pPr>
      <w:spacing w:after="0" w:line="300" w:lineRule="atLeast"/>
    </w:pPr>
    <w:rPr>
      <w:rFonts w:ascii="Verdana" w:eastAsia="Times New Roman" w:hAnsi="Verdana" w:cs="Times New Roman"/>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unhideWhenUsed/>
    <w:rsid w:val="0040032A"/>
    <w:pPr>
      <w:spacing w:line="240" w:lineRule="atLeast"/>
    </w:pPr>
    <w:rPr>
      <w:sz w:val="20"/>
      <w:szCs w:val="20"/>
    </w:rPr>
  </w:style>
  <w:style w:type="character" w:customStyle="1" w:styleId="VoetnoottekstChar">
    <w:name w:val="Voetnoottekst Char"/>
    <w:basedOn w:val="Standaardalinea-lettertype"/>
    <w:link w:val="Voetnoottekst"/>
    <w:uiPriority w:val="99"/>
    <w:rsid w:val="0040032A"/>
    <w:rPr>
      <w:rFonts w:ascii="Verdana" w:eastAsia="Times New Roman" w:hAnsi="Verdana" w:cs="Times New Roman"/>
      <w:sz w:val="20"/>
      <w:szCs w:val="20"/>
      <w:lang w:eastAsia="nl-NL"/>
    </w:rPr>
  </w:style>
  <w:style w:type="character" w:styleId="Voetnootmarkering">
    <w:name w:val="footnote reference"/>
    <w:uiPriority w:val="99"/>
    <w:semiHidden/>
    <w:unhideWhenUsed/>
    <w:rsid w:val="0040032A"/>
    <w:rPr>
      <w:vertAlign w:val="superscript"/>
    </w:rPr>
  </w:style>
  <w:style w:type="paragraph" w:styleId="Lijstalinea">
    <w:name w:val="List Paragraph"/>
    <w:basedOn w:val="Standaard"/>
    <w:uiPriority w:val="34"/>
    <w:qFormat/>
    <w:rsid w:val="0040032A"/>
    <w:pPr>
      <w:ind w:left="720"/>
      <w:contextualSpacing/>
    </w:pPr>
  </w:style>
  <w:style w:type="paragraph" w:styleId="Koptekst">
    <w:name w:val="header"/>
    <w:basedOn w:val="Standaard"/>
    <w:link w:val="KoptekstChar"/>
    <w:uiPriority w:val="99"/>
    <w:unhideWhenUsed/>
    <w:rsid w:val="00D70BE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70BE9"/>
    <w:rPr>
      <w:rFonts w:ascii="Verdana" w:eastAsia="Times New Roman" w:hAnsi="Verdana" w:cs="Times New Roman"/>
      <w:sz w:val="18"/>
      <w:szCs w:val="18"/>
      <w:lang w:eastAsia="nl-NL"/>
    </w:rPr>
  </w:style>
  <w:style w:type="paragraph" w:styleId="Voettekst">
    <w:name w:val="footer"/>
    <w:basedOn w:val="Standaard"/>
    <w:link w:val="VoettekstChar"/>
    <w:uiPriority w:val="99"/>
    <w:unhideWhenUsed/>
    <w:rsid w:val="00D70BE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70BE9"/>
    <w:rPr>
      <w:rFonts w:ascii="Verdana" w:eastAsia="Times New Roman" w:hAnsi="Verdana" w:cs="Times New Roman"/>
      <w:sz w:val="18"/>
      <w:szCs w:val="18"/>
      <w:lang w:eastAsia="nl-NL"/>
    </w:rPr>
  </w:style>
  <w:style w:type="paragraph" w:styleId="Ballontekst">
    <w:name w:val="Balloon Text"/>
    <w:basedOn w:val="Standaard"/>
    <w:link w:val="BallontekstChar"/>
    <w:uiPriority w:val="99"/>
    <w:semiHidden/>
    <w:unhideWhenUsed/>
    <w:rsid w:val="00D70BE9"/>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0BE9"/>
    <w:rPr>
      <w:rFonts w:ascii="Tahoma" w:eastAsia="Times New Roman" w:hAnsi="Tahoma" w:cs="Tahoma"/>
      <w:sz w:val="16"/>
      <w:szCs w:val="16"/>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3197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Visscher</dc:creator>
  <cp:lastModifiedBy>Hans Daale</cp:lastModifiedBy>
  <cp:revision>2</cp:revision>
  <dcterms:created xsi:type="dcterms:W3CDTF">2013-10-31T18:47:00Z</dcterms:created>
  <dcterms:modified xsi:type="dcterms:W3CDTF">2013-10-31T18:47:00Z</dcterms:modified>
</cp:coreProperties>
</file>